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265C">
      <w:pPr>
        <w:spacing w:after="120"/>
        <w:ind w:left="663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постановлением Правительства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 xml:space="preserve">от </w:t>
      </w:r>
      <w:r w:rsidRPr="00C3265C">
        <w:rPr>
          <w:sz w:val="24"/>
          <w:szCs w:val="24"/>
        </w:rPr>
        <w:t>25</w:t>
      </w:r>
      <w:r>
        <w:rPr>
          <w:sz w:val="24"/>
          <w:szCs w:val="24"/>
        </w:rPr>
        <w:t xml:space="preserve"> марта 2015 г. № 2</w:t>
      </w:r>
      <w:r w:rsidRPr="00C3265C">
        <w:rPr>
          <w:sz w:val="24"/>
          <w:szCs w:val="24"/>
        </w:rPr>
        <w:t>7</w:t>
      </w:r>
      <w:r>
        <w:rPr>
          <w:sz w:val="24"/>
          <w:szCs w:val="24"/>
        </w:rPr>
        <w:t>2</w:t>
      </w:r>
    </w:p>
    <w:p w:rsidR="00000000" w:rsidRDefault="00C3265C">
      <w:pPr>
        <w:spacing w:after="1200"/>
        <w:ind w:left="6634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14.10.2016 № 1040)</w:t>
      </w:r>
    </w:p>
    <w:p w:rsidR="00000000" w:rsidRDefault="00C3265C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Pr="00C3265C" w:rsidRDefault="00C3265C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паспорта безопасности мест массового пребывания людей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(гриф или пометка)</w:t>
            </w:r>
          </w:p>
        </w:tc>
      </w:tr>
    </w:tbl>
    <w:p w:rsidR="00000000" w:rsidRDefault="00C3265C">
      <w:pPr>
        <w:spacing w:after="240"/>
        <w:rPr>
          <w:sz w:val="2"/>
          <w:szCs w:val="2"/>
        </w:rPr>
      </w:pPr>
    </w:p>
    <w:tbl>
      <w:tblPr>
        <w:tblW w:w="0" w:type="auto"/>
        <w:tblInd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480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00000" w:rsidRDefault="00C3265C">
      <w:pPr>
        <w:ind w:left="4962"/>
        <w:jc w:val="center"/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ind w:left="4961"/>
        <w:jc w:val="center"/>
      </w:pPr>
      <w:r>
        <w:t xml:space="preserve">(руководитель исполнительного органа государственной власти субъекта </w:t>
      </w:r>
      <w:r>
        <w:t xml:space="preserve">Российской </w:t>
      </w:r>
      <w:proofErr w:type="gramStart"/>
      <w:r>
        <w:t>Федерации</w:t>
      </w:r>
      <w:r>
        <w:br/>
        <w:t>(</w:t>
      </w:r>
      <w:proofErr w:type="gramEnd"/>
      <w:r>
        <w:t>глава муниципального образования)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"/>
        <w:gridCol w:w="3005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000" w:rsidRDefault="00C3265C">
      <w:pPr>
        <w:spacing w:after="120"/>
        <w:jc w:val="right"/>
        <w:rPr>
          <w:sz w:val="2"/>
          <w:szCs w:val="2"/>
        </w:rPr>
      </w:pP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spacing w:after="8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283"/>
        <w:gridCol w:w="4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(руководитель территориального органа МВД России)</w:t>
            </w:r>
          </w:p>
        </w:tc>
      </w:tr>
    </w:tbl>
    <w:p w:rsidR="00000000" w:rsidRDefault="00C3265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4"/>
        <w:gridCol w:w="2722"/>
        <w:gridCol w:w="283"/>
        <w:gridCol w:w="2013"/>
        <w:gridCol w:w="113"/>
        <w:gridCol w:w="2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</w:t>
            </w:r>
            <w:r>
              <w:t>о.</w:t>
            </w:r>
            <w:proofErr w:type="spellEnd"/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000" w:rsidRDefault="00C326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1608"/>
        <w:gridCol w:w="198"/>
        <w:gridCol w:w="454"/>
        <w:gridCol w:w="284"/>
        <w:gridCol w:w="1814"/>
        <w:gridCol w:w="397"/>
        <w:gridCol w:w="397"/>
        <w:gridCol w:w="3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spacing w:after="480"/>
        <w:rPr>
          <w:sz w:val="2"/>
          <w:szCs w:val="2"/>
        </w:rPr>
      </w:pPr>
    </w:p>
    <w:p w:rsidR="00000000" w:rsidRDefault="00C3265C">
      <w:pPr>
        <w:spacing w:after="120"/>
        <w:rPr>
          <w:sz w:val="2"/>
          <w:szCs w:val="2"/>
        </w:rPr>
      </w:pPr>
    </w:p>
    <w:p w:rsidR="00000000" w:rsidRDefault="00C3265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283"/>
        <w:gridCol w:w="4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(руководитель территориального органа МЧС России)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>)</w:t>
            </w:r>
          </w:p>
        </w:tc>
      </w:tr>
    </w:tbl>
    <w:p w:rsidR="00000000" w:rsidRDefault="00C3265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4"/>
        <w:gridCol w:w="2722"/>
        <w:gridCol w:w="283"/>
        <w:gridCol w:w="2013"/>
        <w:gridCol w:w="113"/>
        <w:gridCol w:w="2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000" w:rsidRDefault="00C326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1608"/>
        <w:gridCol w:w="198"/>
        <w:gridCol w:w="454"/>
        <w:gridCol w:w="284"/>
        <w:gridCol w:w="1814"/>
        <w:gridCol w:w="397"/>
        <w:gridCol w:w="397"/>
        <w:gridCol w:w="3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rPr>
          <w:sz w:val="24"/>
          <w:szCs w:val="24"/>
          <w:lang w:val="en-US"/>
        </w:rPr>
      </w:pPr>
    </w:p>
    <w:p w:rsidR="00000000" w:rsidRDefault="00C3265C">
      <w:pPr>
        <w:pageBreakBefore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БЕЗОПАСНОСТИ</w:t>
      </w:r>
    </w:p>
    <w:p w:rsidR="00000000" w:rsidRDefault="00C3265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места массового пребывания людей</w:t>
      </w:r>
    </w:p>
    <w:p w:rsidR="00000000" w:rsidRDefault="00C3265C">
      <w:pPr>
        <w:ind w:left="2268" w:right="2268"/>
        <w:jc w:val="center"/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240"/>
        <w:ind w:left="2268" w:right="2268"/>
        <w:jc w:val="center"/>
      </w:pPr>
      <w:r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spacing w:before="6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Общие сведения о месте массового пребывания людей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(наименование)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(адрес места расположения)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(принадлежность (федеральная</w:t>
      </w:r>
      <w:r>
        <w:t xml:space="preserve">, региональная, муниципальная, др.), основное функциональное </w:t>
      </w:r>
      <w:proofErr w:type="gramStart"/>
      <w:r>
        <w:t>назначение,</w:t>
      </w:r>
      <w:r>
        <w:br/>
        <w:t>дата</w:t>
      </w:r>
      <w:proofErr w:type="gramEnd"/>
      <w:r>
        <w:t xml:space="preserve"> и реквизиты решения об отнесении к месту массового пребывания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(границы места массового пребывания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(общая площадь, протяженность периметра, метров)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(результаты мо</w:t>
      </w:r>
      <w:r>
        <w:t>ниторинга количества людей, одновременно находящихся в месте массового пребывания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(категория места массового пребывания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>(территориальный орган МВД России, на территории обслуживания которого расположено место массового пребывания людей, адр</w:t>
      </w:r>
      <w:r>
        <w:t>ес и телефоны дежурной части)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60"/>
        <w:jc w:val="center"/>
      </w:pPr>
      <w:r>
        <w:t xml:space="preserve">(общественные объединения и (или) организации, принимающие участие в обеспечении правопорядка в месте массового пребывания людей, </w:t>
      </w:r>
      <w:proofErr w:type="spellStart"/>
      <w:r>
        <w:t>ф.и.о.</w:t>
      </w:r>
      <w:proofErr w:type="spellEnd"/>
      <w:r>
        <w:t xml:space="preserve"> руководителя, служебный, мобильный, домашний телефоны)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480"/>
        <w:jc w:val="center"/>
      </w:pPr>
      <w:r>
        <w:t>(краткая характеристика местност</w:t>
      </w:r>
      <w:r>
        <w:t xml:space="preserve">и в районе расположения места массового пребывания </w:t>
      </w:r>
      <w:proofErr w:type="gramStart"/>
      <w:r>
        <w:t>людей,</w:t>
      </w:r>
      <w:r>
        <w:br/>
        <w:t>рельеф</w:t>
      </w:r>
      <w:proofErr w:type="gramEnd"/>
      <w:r>
        <w:t>, прилегающие лесные массивы, возможность незаметного подхода)</w:t>
      </w:r>
    </w:p>
    <w:p w:rsidR="00000000" w:rsidRDefault="00C3265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Сведения об объектах, расположенных в месте массового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835"/>
        <w:gridCol w:w="2098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свед</w:t>
            </w:r>
            <w:r>
              <w:rPr>
                <w:sz w:val="24"/>
                <w:szCs w:val="24"/>
              </w:rPr>
              <w:t>ения о форме собственности, владельце (руководит</w:t>
            </w:r>
            <w:bookmarkStart w:id="0" w:name="_GoBack"/>
            <w:bookmarkEnd w:id="0"/>
            <w:r>
              <w:rPr>
                <w:sz w:val="24"/>
                <w:szCs w:val="24"/>
              </w:rPr>
              <w:t>еле), режим работы объекта</w:t>
            </w:r>
          </w:p>
        </w:tc>
        <w:tc>
          <w:tcPr>
            <w:tcW w:w="2098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 технической </w:t>
            </w:r>
            <w:proofErr w:type="spellStart"/>
            <w:r>
              <w:rPr>
                <w:sz w:val="24"/>
                <w:szCs w:val="24"/>
              </w:rPr>
              <w:t>укрепленности</w:t>
            </w:r>
            <w:proofErr w:type="spellEnd"/>
            <w:r>
              <w:rPr>
                <w:sz w:val="24"/>
                <w:szCs w:val="24"/>
              </w:rPr>
              <w:t xml:space="preserve"> и организации охраны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Сведения об объектах, расположенных в непосредственной близости к месту массов</w:t>
      </w:r>
      <w:r>
        <w:rPr>
          <w:sz w:val="24"/>
          <w:szCs w:val="24"/>
        </w:rPr>
        <w:t>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835"/>
        <w:gridCol w:w="2098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 по видам значимости и опасности</w:t>
            </w:r>
          </w:p>
        </w:tc>
        <w:tc>
          <w:tcPr>
            <w:tcW w:w="2098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keepNext/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Размещение места массового пребывания людей по отношению к</w:t>
      </w:r>
      <w:r>
        <w:rPr>
          <w:sz w:val="24"/>
          <w:szCs w:val="24"/>
        </w:rPr>
        <w:t xml:space="preserve"> транспортным коммуникациям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289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  <w:r>
              <w:rPr>
                <w:sz w:val="24"/>
                <w:szCs w:val="24"/>
              </w:rPr>
              <w:br/>
              <w:t>и транспортных коммуникаций</w:t>
            </w:r>
          </w:p>
        </w:tc>
        <w:tc>
          <w:tcPr>
            <w:tcW w:w="2892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 транспорт</w:t>
            </w:r>
            <w:r>
              <w:rPr>
                <w:sz w:val="24"/>
                <w:szCs w:val="24"/>
              </w:rPr>
              <w:softHyphen/>
              <w:t>ных коммуникаций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000000" w:rsidRDefault="00C3265C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892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000000" w:rsidRDefault="00C3265C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</w:t>
            </w:r>
            <w:r>
              <w:rPr>
                <w:sz w:val="24"/>
                <w:szCs w:val="24"/>
              </w:rPr>
              <w:t>одорожный (железнодорожные пути, вокзалы, станции, платформы, переезды)</w:t>
            </w:r>
          </w:p>
        </w:tc>
        <w:tc>
          <w:tcPr>
            <w:tcW w:w="2892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000000" w:rsidRDefault="00C3265C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892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000000" w:rsidRDefault="00C3265C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2892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об организациях</w:t>
      </w:r>
      <w:r>
        <w:rPr>
          <w:sz w:val="24"/>
          <w:szCs w:val="24"/>
        </w:rPr>
        <w:t>, осуществляющих обслуживание места массового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55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552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по обслуживанию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br/>
              <w:t>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Общие сведения о работниках и (или) арендатора</w:t>
      </w:r>
      <w:r>
        <w:rPr>
          <w:sz w:val="24"/>
          <w:szCs w:val="24"/>
        </w:rPr>
        <w:t>х места массового пребывания людей, а также объектов, расположенных в месте массового пребывания людей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(численность работников)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(средняя и максимальная посещаемость объекта, количество одновременно пребывающих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(сведения об арендаторах)</w:t>
      </w:r>
    </w:p>
    <w:p w:rsidR="00000000" w:rsidRDefault="00C3265C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Сведени</w:t>
      </w:r>
      <w:r>
        <w:rPr>
          <w:sz w:val="24"/>
          <w:szCs w:val="24"/>
        </w:rPr>
        <w:t>я о потенциально опасных участках и (или) критических элементах места массового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2211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99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21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Возм</w:t>
      </w:r>
      <w:r>
        <w:rPr>
          <w:sz w:val="24"/>
          <w:szCs w:val="24"/>
        </w:rPr>
        <w:t>ожные противоправные действия в месте массового пребывания людей: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100"/>
        <w:ind w:left="851" w:right="113"/>
        <w:jc w:val="center"/>
      </w:pPr>
      <w: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месте ма</w:t>
      </w:r>
      <w:r>
        <w:t>ссового пребывания людей объектов и сооружений или угроза совершения указанных действий, захват заложников, вывод из строя или несанкционированное вмешательство в работу различных коммуникаций, иные ситуации)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</w:p>
    <w:p w:rsidR="00000000" w:rsidRDefault="00C3265C">
      <w:pPr>
        <w:pBdr>
          <w:top w:val="single" w:sz="4" w:space="1" w:color="auto"/>
        </w:pBdr>
        <w:spacing w:after="360"/>
        <w:ind w:left="868"/>
        <w:jc w:val="center"/>
      </w:pPr>
      <w:r>
        <w:t>(зафиксированные диверсионно-террористичес</w:t>
      </w:r>
      <w:r>
        <w:t>кие проявления в месте массового пребывания людей</w:t>
      </w:r>
      <w:r>
        <w:br/>
        <w:t>или в районе его расположения, их краткая характеристика)</w:t>
      </w:r>
    </w:p>
    <w:p w:rsidR="00000000" w:rsidRDefault="00C3265C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Оценка социально-экономических последствий террористического акта в месте массового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7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Террористическая</w:t>
            </w:r>
            <w:r>
              <w:rPr>
                <w:sz w:val="24"/>
                <w:szCs w:val="24"/>
              </w:rPr>
              <w:br/>
              <w:t>угроза</w:t>
            </w:r>
          </w:p>
        </w:tc>
        <w:tc>
          <w:tcPr>
            <w:tcW w:w="3175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</w:t>
            </w:r>
            <w:r>
              <w:rPr>
                <w:sz w:val="24"/>
                <w:szCs w:val="24"/>
              </w:rPr>
              <w:t xml:space="preserve"> количество пострадавших в результате террористического акта (человек)</w:t>
            </w:r>
          </w:p>
        </w:tc>
        <w:tc>
          <w:tcPr>
            <w:tcW w:w="3119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Силы и средства, привлекаемые для обеспечения антитеррористической защищенности места массового пребывания людей: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120"/>
        <w:ind w:left="851" w:right="113"/>
        <w:jc w:val="center"/>
      </w:pPr>
      <w:r>
        <w:t>(территориа</w:t>
      </w:r>
      <w:r>
        <w:t xml:space="preserve">льные органы МВД России и </w:t>
      </w:r>
      <w:proofErr w:type="spellStart"/>
      <w:r>
        <w:t>Росгвардии</w:t>
      </w:r>
      <w:proofErr w:type="spellEnd"/>
      <w:r>
        <w:t xml:space="preserve">, подразделение ведомственной охраны, частная охранная организация, общественное формирование; адрес, </w:t>
      </w:r>
      <w:proofErr w:type="spellStart"/>
      <w:r>
        <w:t>ф.и.о.</w:t>
      </w:r>
      <w:proofErr w:type="spellEnd"/>
      <w:r>
        <w:t>, телефон руководителя, телефоны дежурной части, номер, дата выдачи и срок действия лицензии на осуществление ох</w:t>
      </w:r>
      <w:r>
        <w:t>ранной деятельности (для частных охранных организаций)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120"/>
        <w:ind w:left="868" w:right="113"/>
        <w:jc w:val="center"/>
      </w:pPr>
      <w:r>
        <w:t xml:space="preserve">(маршруты </w:t>
      </w:r>
      <w:proofErr w:type="spellStart"/>
      <w:r>
        <w:t>автопатрулей</w:t>
      </w:r>
      <w:proofErr w:type="spellEnd"/>
      <w:r>
        <w:t xml:space="preserve"> полиции, приближенные к месту массового пребывания людей, график объезда места массового пребывания людей,</w:t>
      </w:r>
      <w:r>
        <w:rPr>
          <w:color w:val="000000"/>
        </w:rPr>
        <w:t xml:space="preserve"> время прибытия группы быстрого реагирования (группы задержания) </w:t>
      </w:r>
      <w:r>
        <w:rPr>
          <w:color w:val="000000"/>
        </w:rPr>
        <w:t xml:space="preserve">подразделения полиции и (или) войск национальной гвардии Российской Федерации </w:t>
      </w:r>
      <w:r>
        <w:rPr>
          <w:color w:val="000000"/>
        </w:rPr>
        <w:br/>
        <w:t>от места постоянной дислокации)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240"/>
        <w:ind w:left="868" w:right="113"/>
        <w:jc w:val="center"/>
      </w:pPr>
      <w:r>
        <w:t>(наличие и характеристика стационарных постов полиции и (или) подразделения войск национальной гвардии Российской Федерации в месте массов</w:t>
      </w:r>
      <w:r>
        <w:t xml:space="preserve">ого пребывания людей, их дислокация, </w:t>
      </w:r>
      <w:r>
        <w:br/>
        <w:t>техническая оснащенность, режим службы)</w:t>
      </w:r>
    </w:p>
    <w:p w:rsidR="00000000" w:rsidRDefault="00C3265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состав наряда, обеспечивающего охрану общественного порядка в месте массового пребывания людей, отдельно по его принадлежности и виду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1773"/>
        <w:gridCol w:w="14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9" w:type="dxa"/>
            <w:vMerge w:val="restart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наряда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9" w:type="dxa"/>
            <w:vMerge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тационарный пост полиции и (или) подразделения войск национальной гвардии Российской Федерации</w:t>
            </w:r>
          </w:p>
        </w:tc>
        <w:tc>
          <w:tcPr>
            <w:tcW w:w="1773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Пеший внутренний пост полиции и (или) подразделения войск национальной гвардии Российской Федерации</w:t>
            </w:r>
          </w:p>
        </w:tc>
        <w:tc>
          <w:tcPr>
            <w:tcW w:w="1773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пост</w:t>
            </w:r>
          </w:p>
        </w:tc>
        <w:tc>
          <w:tcPr>
            <w:tcW w:w="1773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12-часовой пост</w:t>
            </w:r>
          </w:p>
        </w:tc>
        <w:tc>
          <w:tcPr>
            <w:tcW w:w="1773" w:type="dxa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  <w:bottom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8-часовой пост</w:t>
            </w:r>
          </w:p>
        </w:tc>
        <w:tc>
          <w:tcPr>
            <w:tcW w:w="1773" w:type="dxa"/>
            <w:tcBorders>
              <w:bottom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19" w:type="dxa"/>
            <w:tcBorders>
              <w:left w:val="nil"/>
              <w:bottom w:val="nil"/>
            </w:tcBorders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1773" w:type="dxa"/>
            <w:tcBorders>
              <w:bottom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nil"/>
              <w:right w:val="nil"/>
            </w:tcBorders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tabs>
          <w:tab w:val="right" w:pos="9923"/>
        </w:tabs>
        <w:spacing w:before="240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240"/>
        <w:ind w:left="868" w:right="113"/>
        <w:jc w:val="center"/>
      </w:pPr>
      <w:r>
        <w:t>(сведения о наличии добровольной народной дружины или других организаций по охране общественного порядка)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е) средства охраны</w:t>
      </w:r>
    </w:p>
    <w:p w:rsidR="00000000" w:rsidRDefault="00C3265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C3265C">
      <w:pPr>
        <w:pBdr>
          <w:top w:val="single" w:sz="4" w:space="1" w:color="auto"/>
        </w:pBdr>
        <w:spacing w:after="240"/>
        <w:ind w:right="113"/>
        <w:jc w:val="center"/>
      </w:pPr>
      <w:r>
        <w:t>(огнестрельное оружие и патроны к нему, количество отдельно по каждому виду, типу, модели; защитные средства, тип</w:t>
      </w:r>
      <w:r>
        <w:t>, количество; специальные средства, тип, количество; служебные собаки, есть, нет, если есть – сколько, какой породы)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ж) организация оповещения и связи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jc w:val="center"/>
      </w:pPr>
      <w:r>
        <w:t>(между постами: телефоны, радиостанции)</w:t>
      </w:r>
    </w:p>
    <w:p w:rsidR="00000000" w:rsidRDefault="00C3265C">
      <w:pPr>
        <w:keepNext/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jc w:val="center"/>
      </w:pPr>
      <w:r>
        <w:t>(между постами и дежурной частью: телефоны, радиостанции)</w:t>
      </w:r>
    </w:p>
    <w:p w:rsidR="00000000" w:rsidRDefault="00C3265C">
      <w:pPr>
        <w:keepNext/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jc w:val="center"/>
      </w:pPr>
      <w:r>
        <w:t>(тел</w:t>
      </w:r>
      <w:r>
        <w:t>ефоны частных охранных организаций, диспетчерских и дежурных служб (города, района)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jc w:val="center"/>
      </w:pPr>
      <w:r>
        <w:t>(</w:t>
      </w:r>
      <w:r>
        <w:rPr>
          <w:spacing w:val="-2"/>
        </w:rPr>
        <w:t xml:space="preserve">телефоны дежурных территориального органа безопасности, территориальных органов </w:t>
      </w:r>
      <w:r>
        <w:rPr>
          <w:spacing w:val="-2"/>
        </w:rPr>
        <w:br/>
        <w:t xml:space="preserve">МВД России,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 xml:space="preserve"> и МЧС России</w:t>
      </w:r>
      <w:r>
        <w:t>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spacing w:after="120"/>
        <w:jc w:val="center"/>
      </w:pPr>
      <w:r>
        <w:t>(телефоны исполнительного органа государственной вл</w:t>
      </w:r>
      <w:r>
        <w:t>асти субъекта Российской Федерации или органа местного самоуправления по подведомственности места массового пребывания людей)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(наименование ближайших подразделений аварийно-спасательных служб и расстояние до них, километров)</w:t>
      </w:r>
    </w:p>
    <w:p w:rsidR="00000000" w:rsidRDefault="00C3265C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Меры по инженерно-техничес</w:t>
      </w:r>
      <w:r>
        <w:rPr>
          <w:sz w:val="24"/>
          <w:szCs w:val="24"/>
        </w:rPr>
        <w:t>кой, физической защите и пожарной безопасности места массового пребывания людей:</w:t>
      </w:r>
    </w:p>
    <w:p w:rsidR="00000000" w:rsidRDefault="00C32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наличие и характеристика инженерно-технических средств</w:t>
      </w:r>
    </w:p>
    <w:p w:rsidR="00000000" w:rsidRDefault="00C3265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C3265C">
      <w:pPr>
        <w:pBdr>
          <w:top w:val="single" w:sz="4" w:space="1" w:color="auto"/>
        </w:pBdr>
        <w:spacing w:after="240"/>
        <w:ind w:right="113"/>
        <w:jc w:val="center"/>
      </w:pPr>
      <w:r>
        <w:t>(ограждение места массового пребывания людей, инженерные заградительные сооружения, препятствующие несанкционирова</w:t>
      </w:r>
      <w:r>
        <w:t>нному проезду транспорта на территорию места массового пребывания людей, камеры системы видеоконтроля, места их расположения, устойчивость функционирования системы видеоконтроля, стационарные колонны (стойки) экстренного вызова наряда полиции и обратной св</w:t>
      </w:r>
      <w:r>
        <w:t xml:space="preserve">язи с дежурными частями территориальных органов МВД России и </w:t>
      </w:r>
      <w:proofErr w:type="spellStart"/>
      <w:r>
        <w:t>Росгвардии</w:t>
      </w:r>
      <w:proofErr w:type="spellEnd"/>
      <w:r>
        <w:t>, количество и места их расположения, опоры освещения, их количество, работоспособность, достаточность освещенности всей территории места массового пребывания людей)</w:t>
      </w:r>
    </w:p>
    <w:p w:rsidR="00000000" w:rsidRDefault="00C32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обеспечение пожа</w:t>
      </w:r>
      <w:r>
        <w:rPr>
          <w:sz w:val="24"/>
          <w:szCs w:val="24"/>
        </w:rPr>
        <w:t>рной безопасности</w:t>
      </w:r>
    </w:p>
    <w:p w:rsidR="00000000" w:rsidRDefault="00C3265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C3265C">
      <w:pPr>
        <w:pBdr>
          <w:top w:val="single" w:sz="4" w:space="1" w:color="auto"/>
        </w:pBdr>
        <w:spacing w:after="240"/>
        <w:ind w:right="113"/>
        <w:jc w:val="center"/>
      </w:pPr>
      <w:r>
        <w:t>(пожарная сигнализация, места расположения первичных средств пожаротушения)</w:t>
      </w:r>
    </w:p>
    <w:p w:rsidR="00000000" w:rsidRDefault="00C3265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система оповещения и управления эвакуацией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(характеристика, пути эвакуации)</w:t>
      </w:r>
    </w:p>
    <w:p w:rsidR="00000000" w:rsidRDefault="00C3265C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Оценка достаточности мероприятий по защите критических элементов и потенциа</w:t>
      </w:r>
      <w:r>
        <w:rPr>
          <w:sz w:val="24"/>
          <w:szCs w:val="24"/>
        </w:rPr>
        <w:t>льно опасных участков места массового пребывания людей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531"/>
        <w:gridCol w:w="1531"/>
        <w:gridCol w:w="1474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softHyphen/>
              <w:t>ние критического элемента или потенциально опасного участка</w:t>
            </w:r>
          </w:p>
        </w:tc>
        <w:tc>
          <w:tcPr>
            <w:tcW w:w="153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установ</w:t>
            </w:r>
            <w:r>
              <w:rPr>
                <w:sz w:val="24"/>
                <w:szCs w:val="24"/>
              </w:rPr>
              <w:softHyphen/>
              <w:t>ленных требований</w:t>
            </w:r>
          </w:p>
        </w:tc>
        <w:tc>
          <w:tcPr>
            <w:tcW w:w="153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задачи по физи</w:t>
            </w:r>
            <w:r>
              <w:rPr>
                <w:sz w:val="24"/>
                <w:szCs w:val="24"/>
              </w:rPr>
              <w:softHyphen/>
              <w:t>ческой защите</w:t>
            </w:r>
          </w:p>
        </w:tc>
        <w:tc>
          <w:tcPr>
            <w:tcW w:w="1531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задачи по предот</w:t>
            </w:r>
            <w:r>
              <w:rPr>
                <w:sz w:val="24"/>
                <w:szCs w:val="24"/>
              </w:rPr>
              <w:softHyphen/>
              <w:t>вращению терро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softHyphen/>
              <w:t>ческого акта</w:t>
            </w:r>
          </w:p>
        </w:tc>
        <w:tc>
          <w:tcPr>
            <w:tcW w:w="1474" w:type="dxa"/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доста</w:t>
            </w:r>
            <w:r>
              <w:rPr>
                <w:sz w:val="24"/>
                <w:szCs w:val="24"/>
              </w:rPr>
              <w:softHyphen/>
              <w:t>точно</w:t>
            </w:r>
            <w:r>
              <w:rPr>
                <w:sz w:val="24"/>
                <w:szCs w:val="24"/>
              </w:rPr>
              <w:softHyphen/>
              <w:t>сти меро</w:t>
            </w:r>
            <w:r>
              <w:rPr>
                <w:sz w:val="24"/>
                <w:szCs w:val="24"/>
              </w:rPr>
              <w:softHyphen/>
              <w:t>приятий по защите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</w:t>
            </w:r>
            <w:r>
              <w:rPr>
                <w:sz w:val="24"/>
                <w:szCs w:val="24"/>
              </w:rPr>
              <w:softHyphen/>
              <w:t>са</w:t>
            </w:r>
            <w:r>
              <w:rPr>
                <w:sz w:val="24"/>
                <w:szCs w:val="24"/>
              </w:rPr>
              <w:softHyphen/>
              <w:t>цион</w:t>
            </w:r>
            <w:r>
              <w:rPr>
                <w:sz w:val="24"/>
                <w:szCs w:val="24"/>
              </w:rPr>
              <w:softHyphen/>
              <w:t>ные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</w:tr>
    </w:tbl>
    <w:p w:rsidR="00000000" w:rsidRDefault="00C3265C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120"/>
        <w:ind w:left="851" w:right="113"/>
        <w:jc w:val="center"/>
      </w:pPr>
      <w:r>
        <w:t>(выводы о на</w:t>
      </w:r>
      <w:r>
        <w:t>дежности охраны и способности противостоять попыткам совершения террористических актов и иных противоправных действий)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000000" w:rsidRDefault="00C3265C">
      <w:pPr>
        <w:pBdr>
          <w:top w:val="single" w:sz="4" w:space="1" w:color="auto"/>
        </w:pBdr>
        <w:spacing w:after="120"/>
        <w:ind w:left="868" w:right="113"/>
        <w:jc w:val="center"/>
      </w:pPr>
      <w:r>
        <w:t>(первоочередные, неотложные мероприятия, направленные на обеспечение антитеррористической защищенности, устранение выявленных недо</w:t>
      </w:r>
      <w:r>
        <w:t>статков)</w:t>
      </w:r>
    </w:p>
    <w:p w:rsidR="00000000" w:rsidRDefault="00C3265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</w:p>
    <w:p w:rsidR="00000000" w:rsidRDefault="00C3265C">
      <w:pPr>
        <w:pBdr>
          <w:top w:val="single" w:sz="4" w:space="1" w:color="auto"/>
        </w:pBdr>
        <w:ind w:left="868"/>
        <w:jc w:val="center"/>
      </w:pPr>
      <w: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000000" w:rsidRDefault="00C3265C">
      <w:pPr>
        <w:keepNext/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14. Дополнительная информация</w:t>
      </w:r>
    </w:p>
    <w:p w:rsidR="00000000" w:rsidRDefault="00C3265C">
      <w:pPr>
        <w:keepNext/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(дополнительная информация с учетом особенностей места массового пребывания людей)</w:t>
      </w:r>
    </w:p>
    <w:p w:rsidR="00000000" w:rsidRDefault="00C3265C">
      <w:pPr>
        <w:tabs>
          <w:tab w:val="left" w:pos="2127"/>
        </w:tabs>
        <w:spacing w:before="360"/>
        <w:ind w:left="2268" w:hanging="1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</w:t>
      </w:r>
      <w:r>
        <w:rPr>
          <w:sz w:val="24"/>
          <w:szCs w:val="24"/>
        </w:rPr>
        <w:t>ния: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1. Акт обследования места массового пребывания людей.</w:t>
      </w:r>
    </w:p>
    <w:p w:rsidR="00000000" w:rsidRDefault="00C3265C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План-схема места массового пребывания людей с привязкой к местности и с указанием расположения </w:t>
      </w:r>
      <w:r>
        <w:rPr>
          <w:spacing w:val="-4"/>
          <w:sz w:val="24"/>
          <w:szCs w:val="24"/>
        </w:rPr>
        <w:t>объектов, находящихся на территории места массового пребывания людей и в непосредственной</w:t>
      </w:r>
      <w:r>
        <w:rPr>
          <w:sz w:val="24"/>
          <w:szCs w:val="24"/>
        </w:rPr>
        <w:t xml:space="preserve"> близости </w:t>
      </w:r>
      <w:r>
        <w:rPr>
          <w:sz w:val="24"/>
          <w:szCs w:val="24"/>
        </w:rPr>
        <w:t>к нему, постов охраны, маршрутов патрулирования нарядов полиции и (или) войск национальной гвардии Российской Федерации, расположения инженерно-технических средств, расположения произведений монументального искусства, мест отдыха (лавочек, скамеек, детских</w:t>
      </w:r>
      <w:r>
        <w:rPr>
          <w:sz w:val="24"/>
          <w:szCs w:val="24"/>
        </w:rPr>
        <w:t xml:space="preserve"> площадок, летних кафе и др.), мусорных контейнеров.</w:t>
      </w:r>
    </w:p>
    <w:p w:rsidR="00000000" w:rsidRDefault="00C3265C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Схемы коммуникаций места массового пребывания </w:t>
      </w:r>
      <w:r>
        <w:rPr>
          <w:spacing w:val="-4"/>
          <w:sz w:val="24"/>
          <w:szCs w:val="24"/>
        </w:rPr>
        <w:t xml:space="preserve">людей (водоснабжения, электроснабжения, </w:t>
      </w:r>
      <w:r>
        <w:rPr>
          <w:sz w:val="24"/>
          <w:szCs w:val="24"/>
        </w:rPr>
        <w:t>газоснабжения и др.).</w:t>
      </w:r>
    </w:p>
    <w:p w:rsidR="00000000" w:rsidRDefault="00C3265C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>4. Инструкция по эвакуации людей.</w:t>
      </w:r>
    </w:p>
    <w:p w:rsidR="00000000" w:rsidRDefault="00C3265C">
      <w:pPr>
        <w:spacing w:after="240"/>
        <w:ind w:left="2410" w:hanging="284"/>
        <w:rPr>
          <w:sz w:val="24"/>
          <w:szCs w:val="24"/>
        </w:rPr>
      </w:pPr>
      <w:r>
        <w:rPr>
          <w:sz w:val="24"/>
          <w:szCs w:val="24"/>
        </w:rPr>
        <w:t>5. Лист учета корректировок.</w:t>
      </w:r>
    </w:p>
    <w:p w:rsidR="00000000" w:rsidRDefault="00C3265C">
      <w:pPr>
        <w:rPr>
          <w:sz w:val="24"/>
          <w:szCs w:val="24"/>
        </w:rPr>
      </w:pPr>
    </w:p>
    <w:p w:rsidR="00000000" w:rsidRDefault="00C3265C">
      <w:pPr>
        <w:pBdr>
          <w:top w:val="single" w:sz="4" w:space="1" w:color="auto"/>
        </w:pBdr>
        <w:jc w:val="center"/>
      </w:pPr>
      <w:r>
        <w:t>(правообладатель места массо</w:t>
      </w:r>
      <w:r>
        <w:t>вого пребывания людей)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5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65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000" w:rsidRDefault="00C3265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1"/>
        <w:gridCol w:w="397"/>
        <w:gridCol w:w="227"/>
        <w:gridCol w:w="1616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1"/>
        <w:gridCol w:w="397"/>
        <w:gridCol w:w="227"/>
        <w:gridCol w:w="1418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265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6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3265C">
      <w:pPr>
        <w:rPr>
          <w:sz w:val="24"/>
          <w:szCs w:val="24"/>
        </w:rPr>
      </w:pPr>
    </w:p>
    <w:sectPr w:rsidR="0000000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65C">
      <w:r>
        <w:separator/>
      </w:r>
    </w:p>
  </w:endnote>
  <w:endnote w:type="continuationSeparator" w:id="0">
    <w:p w:rsidR="00000000" w:rsidRDefault="00C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65C">
      <w:r>
        <w:separator/>
      </w:r>
    </w:p>
  </w:footnote>
  <w:footnote w:type="continuationSeparator" w:id="0">
    <w:p w:rsidR="00000000" w:rsidRDefault="00C3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265C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65C"/>
    <w:rsid w:val="00C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1D615-D445-4CEC-B4D9-342E622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widowControl w:val="0"/>
      <w:outlineLvl w:val="0"/>
    </w:pPr>
    <w:rPr>
      <w:rFonts w:ascii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pPr>
      <w:widowControl w:val="0"/>
      <w:outlineLvl w:val="1"/>
    </w:pPr>
    <w:rPr>
      <w:rFonts w:ascii="Courier New" w:hAnsi="Courier New" w:cs="Courier New"/>
      <w:sz w:val="31"/>
      <w:szCs w:val="31"/>
    </w:rPr>
  </w:style>
  <w:style w:type="paragraph" w:styleId="3">
    <w:name w:val="heading 3"/>
    <w:basedOn w:val="a"/>
    <w:link w:val="30"/>
    <w:uiPriority w:val="99"/>
    <w:qFormat/>
    <w:pPr>
      <w:widowControl w:val="0"/>
      <w:ind w:left="42"/>
      <w:outlineLvl w:val="2"/>
    </w:pPr>
    <w:rPr>
      <w:rFonts w:ascii="Courier New" w:hAnsi="Courier New" w:cs="Courier New"/>
      <w:sz w:val="29"/>
      <w:szCs w:val="29"/>
    </w:rPr>
  </w:style>
  <w:style w:type="paragraph" w:styleId="4">
    <w:name w:val="heading 4"/>
    <w:basedOn w:val="a"/>
    <w:link w:val="40"/>
    <w:uiPriority w:val="99"/>
    <w:qFormat/>
    <w:pPr>
      <w:widowControl w:val="0"/>
      <w:ind w:left="111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widowControl w:val="0"/>
      <w:ind w:left="125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pPr>
      <w:widowControl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pPr>
      <w:widowControl w:val="0"/>
      <w:tabs>
        <w:tab w:val="left" w:pos="1120"/>
      </w:tabs>
      <w:ind w:firstLine="708"/>
      <w:jc w:val="both"/>
    </w:pPr>
    <w:rPr>
      <w:noProof/>
      <w:sz w:val="28"/>
      <w:szCs w:val="28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jc w:val="both"/>
    </w:pPr>
    <w:rPr>
      <w:sz w:val="22"/>
      <w:szCs w:val="22"/>
    </w:rPr>
  </w:style>
  <w:style w:type="character" w:customStyle="1" w:styleId="ab">
    <w:name w:val="Цветовое выделение"/>
    <w:uiPriority w:val="99"/>
    <w:rPr>
      <w:b/>
      <w:bCs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jc w:val="both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spacing w:line="325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Кувшинов</cp:lastModifiedBy>
  <cp:revision>2</cp:revision>
  <cp:lastPrinted>2015-04-03T12:56:00Z</cp:lastPrinted>
  <dcterms:created xsi:type="dcterms:W3CDTF">2016-12-07T19:36:00Z</dcterms:created>
  <dcterms:modified xsi:type="dcterms:W3CDTF">2016-12-07T19:36:00Z</dcterms:modified>
</cp:coreProperties>
</file>